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06A3EF6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7A213D" w:rsidRPr="007A213D">
        <w:rPr>
          <w:rFonts w:ascii="Calibri" w:hAnsi="Calibri"/>
        </w:rPr>
        <w:t>ENG17-3.1.2.</w:t>
      </w:r>
      <w:r w:rsidR="007A213D">
        <w:rPr>
          <w:rFonts w:ascii="Calibri" w:hAnsi="Calibri"/>
        </w:rPr>
        <w:t>9</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0928131"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82DAC">
        <w:rPr>
          <w:rFonts w:ascii="Calibri" w:hAnsi="Calibri"/>
        </w:rPr>
        <w:t>X</w:t>
      </w:r>
      <w:r w:rsidRPr="00382DAC">
        <w:rPr>
          <w:rFonts w:ascii="Calibri" w:hAnsi="Calibri"/>
        </w:rPr>
        <w:t xml:space="preserve"> </w:t>
      </w:r>
      <w:r w:rsidRPr="007A395D">
        <w:rPr>
          <w:rFonts w:ascii="Calibri" w:hAnsi="Calibri" w:cs="Arial"/>
          <w:sz w:val="24"/>
          <w:szCs w:val="24"/>
        </w:rPr>
        <w:t xml:space="preserve"> Input</w:t>
      </w:r>
    </w:p>
    <w:p w14:paraId="0BC79547" w14:textId="76DBD649"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009D1A67">
        <w:rPr>
          <w:rFonts w:ascii="Calibri" w:hAnsi="Calibri" w:cs="Arial"/>
        </w:rPr>
        <w:t>DTEC</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2585FE80" w:rsidR="00362CD9" w:rsidRPr="007A395D" w:rsidRDefault="00362CD9" w:rsidP="007C2FF3">
      <w:pPr>
        <w:pStyle w:val="BodyText"/>
        <w:tabs>
          <w:tab w:val="left" w:pos="2835"/>
        </w:tabs>
        <w:ind w:left="3600" w:hanging="3600"/>
        <w:rPr>
          <w:rFonts w:ascii="Calibri" w:hAnsi="Calibri"/>
          <w:color w:val="FF0000"/>
        </w:rPr>
      </w:pPr>
      <w:r w:rsidRPr="007A395D">
        <w:rPr>
          <w:rFonts w:ascii="Calibri" w:hAnsi="Calibri"/>
        </w:rPr>
        <w:t>Author(s)</w:t>
      </w:r>
      <w:r w:rsidR="00FE5674" w:rsidRPr="007A395D">
        <w:rPr>
          <w:rFonts w:ascii="Calibri" w:hAnsi="Calibri"/>
        </w:rPr>
        <w:t xml:space="preserve"> / Submitter(s)</w:t>
      </w:r>
      <w:r w:rsidR="007C2FF3">
        <w:rPr>
          <w:rFonts w:ascii="Calibri" w:hAnsi="Calibri"/>
        </w:rPr>
        <w:t xml:space="preserve">: </w:t>
      </w:r>
      <w:r w:rsidRPr="007A395D">
        <w:rPr>
          <w:rFonts w:ascii="Calibri" w:hAnsi="Calibri"/>
        </w:rPr>
        <w:tab/>
      </w:r>
      <w:r w:rsidR="0080294B" w:rsidRPr="007A395D">
        <w:rPr>
          <w:rFonts w:ascii="Calibri" w:hAnsi="Calibri"/>
        </w:rPr>
        <w:tab/>
      </w:r>
      <w:r w:rsidR="00382DAC">
        <w:rPr>
          <w:rFonts w:ascii="Calibri" w:hAnsi="Calibri"/>
        </w:rPr>
        <w:t>Manuel Lopez</w:t>
      </w:r>
      <w:r w:rsidR="00A45E9F">
        <w:rPr>
          <w:rFonts w:ascii="Calibri" w:hAnsi="Calibri"/>
        </w:rPr>
        <w:t xml:space="preserve"> (EUSPA)</w:t>
      </w:r>
      <w:r w:rsidR="00382DAC">
        <w:rPr>
          <w:rFonts w:ascii="Calibri" w:hAnsi="Calibri"/>
        </w:rPr>
        <w:t xml:space="preserve">, </w:t>
      </w:r>
      <w:r w:rsidR="00C321F7">
        <w:rPr>
          <w:rFonts w:ascii="Calibri" w:hAnsi="Calibri"/>
        </w:rPr>
        <w:t xml:space="preserve">Natalia Castrillo (EUSPA), </w:t>
      </w:r>
      <w:r w:rsidR="00382DAC">
        <w:rPr>
          <w:rFonts w:ascii="Calibri" w:hAnsi="Calibri"/>
        </w:rPr>
        <w:t>Ettore Canestri (EUSPA),</w:t>
      </w:r>
      <w:r w:rsidR="000A57AF">
        <w:rPr>
          <w:rFonts w:ascii="Calibri" w:hAnsi="Calibri"/>
        </w:rPr>
        <w:t xml:space="preserve"> Alan Grant (G</w:t>
      </w:r>
      <w:r w:rsidR="007838F6">
        <w:rPr>
          <w:rFonts w:ascii="Calibri" w:hAnsi="Calibri"/>
        </w:rPr>
        <w:t>RAD</w:t>
      </w:r>
      <w:r w:rsidR="000A57AF">
        <w:rPr>
          <w:rFonts w:ascii="Calibri" w:hAnsi="Calibri"/>
        </w:rPr>
        <w:t xml:space="preserve">), </w:t>
      </w:r>
      <w:r w:rsidR="00382DAC">
        <w:rPr>
          <w:rFonts w:ascii="Calibri" w:hAnsi="Calibri"/>
        </w:rPr>
        <w:t xml:space="preserve">Mahesh Alimchandani (AMSA), Michael Bergmann (BM) </w:t>
      </w:r>
    </w:p>
    <w:p w14:paraId="60BCC120" w14:textId="77777777" w:rsidR="0080294B" w:rsidRPr="007A395D" w:rsidRDefault="0080294B" w:rsidP="00FE5674">
      <w:pPr>
        <w:pStyle w:val="BodyText"/>
        <w:tabs>
          <w:tab w:val="left" w:pos="2835"/>
        </w:tabs>
        <w:rPr>
          <w:rFonts w:ascii="Calibri" w:hAnsi="Calibri"/>
        </w:rPr>
      </w:pPr>
    </w:p>
    <w:p w14:paraId="4834080C" w14:textId="226BA435" w:rsidR="00A446C9" w:rsidRPr="00605E43" w:rsidRDefault="00382DAC" w:rsidP="00A446C9">
      <w:pPr>
        <w:pStyle w:val="Title"/>
        <w:rPr>
          <w:rFonts w:ascii="Calibri" w:hAnsi="Calibri"/>
          <w:color w:val="0070C0"/>
        </w:rPr>
      </w:pPr>
      <w:r>
        <w:rPr>
          <w:rFonts w:ascii="Calibri" w:hAnsi="Calibri"/>
          <w:color w:val="0070C0"/>
        </w:rPr>
        <w:t xml:space="preserve">Development of </w:t>
      </w:r>
      <w:r w:rsidR="00BC4E82">
        <w:rPr>
          <w:rFonts w:ascii="Calibri" w:hAnsi="Calibri"/>
          <w:color w:val="0070C0"/>
        </w:rPr>
        <w:t>P</w:t>
      </w:r>
      <w:r>
        <w:rPr>
          <w:rFonts w:ascii="Calibri" w:hAnsi="Calibri"/>
          <w:color w:val="0070C0"/>
        </w:rPr>
        <w:t xml:space="preserve">rocedures and </w:t>
      </w:r>
      <w:r w:rsidR="00BC4E82">
        <w:rPr>
          <w:rFonts w:ascii="Calibri" w:hAnsi="Calibri"/>
          <w:color w:val="0070C0"/>
        </w:rPr>
        <w:t>R</w:t>
      </w:r>
      <w:r>
        <w:rPr>
          <w:rFonts w:ascii="Calibri" w:hAnsi="Calibri"/>
          <w:color w:val="0070C0"/>
        </w:rPr>
        <w:t xml:space="preserve">equirements for the </w:t>
      </w:r>
      <w:r w:rsidR="00BC4E82">
        <w:rPr>
          <w:rFonts w:ascii="Calibri" w:hAnsi="Calibri"/>
          <w:color w:val="0070C0"/>
        </w:rPr>
        <w:t>R</w:t>
      </w:r>
      <w:r>
        <w:rPr>
          <w:rFonts w:ascii="Calibri" w:hAnsi="Calibri"/>
          <w:color w:val="0070C0"/>
        </w:rPr>
        <w:t xml:space="preserve">ecognition of </w:t>
      </w:r>
      <w:r w:rsidR="00BC4E82">
        <w:rPr>
          <w:rFonts w:ascii="Calibri" w:hAnsi="Calibri"/>
          <w:color w:val="0070C0"/>
        </w:rPr>
        <w:t>A</w:t>
      </w:r>
      <w:r>
        <w:rPr>
          <w:rFonts w:ascii="Calibri" w:hAnsi="Calibri"/>
          <w:color w:val="0070C0"/>
        </w:rPr>
        <w:t xml:space="preserve">ugmentation </w:t>
      </w:r>
      <w:r w:rsidR="00BC4E82">
        <w:rPr>
          <w:rFonts w:ascii="Calibri" w:hAnsi="Calibri"/>
          <w:color w:val="0070C0"/>
        </w:rPr>
        <w:t>S</w:t>
      </w:r>
      <w:r>
        <w:rPr>
          <w:rFonts w:ascii="Calibri" w:hAnsi="Calibri"/>
          <w:color w:val="0070C0"/>
        </w:rPr>
        <w:t>ystems in the WWRNS</w:t>
      </w:r>
    </w:p>
    <w:p w14:paraId="0F258596" w14:textId="50FB6E37" w:rsidR="00A446C9" w:rsidRPr="00605E43" w:rsidRDefault="00A446C9" w:rsidP="00605E43">
      <w:pPr>
        <w:pStyle w:val="Heading1"/>
      </w:pPr>
      <w:r w:rsidRPr="00605E43">
        <w:t>Summary</w:t>
      </w:r>
    </w:p>
    <w:p w14:paraId="0B783C4D" w14:textId="09B5D139" w:rsidR="00A45E9F" w:rsidRDefault="00D12282" w:rsidP="00E01DBA">
      <w:pPr>
        <w:pStyle w:val="BodyText"/>
        <w:rPr>
          <w:rFonts w:ascii="Calibri" w:hAnsi="Calibri"/>
        </w:rPr>
      </w:pPr>
      <w:r>
        <w:rPr>
          <w:rFonts w:ascii="Calibri" w:hAnsi="Calibri"/>
        </w:rPr>
        <w:t xml:space="preserve">IMO MSC 107 Committee considered the document MSC 107/17/7 co-sponsored by IALA, </w:t>
      </w:r>
      <w:r w:rsidRPr="00D12282">
        <w:rPr>
          <w:rFonts w:ascii="Calibri" w:hAnsi="Calibri"/>
        </w:rPr>
        <w:t>proposing a new</w:t>
      </w:r>
      <w:r w:rsidRPr="00D12282">
        <w:rPr>
          <w:rFonts w:ascii="Calibri" w:hAnsi="Calibri"/>
        </w:rPr>
        <w:cr/>
        <w:t>output to develop minimum performance standards for dual frequency multi-constellation</w:t>
      </w:r>
      <w:r>
        <w:rPr>
          <w:rFonts w:ascii="Calibri" w:hAnsi="Calibri"/>
        </w:rPr>
        <w:t xml:space="preserve"> </w:t>
      </w:r>
      <w:r w:rsidRPr="00D12282">
        <w:rPr>
          <w:rFonts w:ascii="Calibri" w:hAnsi="Calibri"/>
        </w:rPr>
        <w:t>satellite-based augmentation systems (DFMC SBAS) and advanced receiver autonomous</w:t>
      </w:r>
      <w:r>
        <w:rPr>
          <w:rFonts w:ascii="Calibri" w:hAnsi="Calibri"/>
        </w:rPr>
        <w:t xml:space="preserve"> i</w:t>
      </w:r>
      <w:r w:rsidRPr="00D12282">
        <w:rPr>
          <w:rFonts w:ascii="Calibri" w:hAnsi="Calibri"/>
        </w:rPr>
        <w:t>ntegrity monitoring (ARAIM) in</w:t>
      </w:r>
      <w:r>
        <w:rPr>
          <w:rFonts w:ascii="Calibri" w:hAnsi="Calibri"/>
        </w:rPr>
        <w:t xml:space="preserve"> s</w:t>
      </w:r>
      <w:r w:rsidRPr="00D12282">
        <w:rPr>
          <w:rFonts w:ascii="Calibri" w:hAnsi="Calibri"/>
        </w:rPr>
        <w:t>hipborne radionavigation receivers</w:t>
      </w:r>
      <w:r>
        <w:rPr>
          <w:rFonts w:ascii="Calibri" w:hAnsi="Calibri"/>
        </w:rPr>
        <w:t>. T</w:t>
      </w:r>
      <w:r w:rsidR="008F73EB">
        <w:rPr>
          <w:rFonts w:ascii="Calibri" w:hAnsi="Calibri"/>
        </w:rPr>
        <w:t xml:space="preserve">he IMO MSC committee noted that: </w:t>
      </w:r>
    </w:p>
    <w:p w14:paraId="3B02B1C7" w14:textId="4AFD3137" w:rsidR="008F73EB" w:rsidRPr="008F73EB" w:rsidRDefault="008F73EB" w:rsidP="00E01DBA">
      <w:pPr>
        <w:pStyle w:val="BodyText"/>
        <w:numPr>
          <w:ilvl w:val="0"/>
          <w:numId w:val="22"/>
        </w:numPr>
        <w:rPr>
          <w:rFonts w:ascii="Calibri" w:hAnsi="Calibri"/>
        </w:rPr>
      </w:pPr>
      <w:r w:rsidRPr="008F73EB">
        <w:rPr>
          <w:rFonts w:ascii="Calibri" w:hAnsi="Calibri"/>
        </w:rPr>
        <w:t>radionavigation systems and global navigation satellite systems (GNSS) were</w:t>
      </w:r>
      <w:r>
        <w:rPr>
          <w:rFonts w:ascii="Calibri" w:hAnsi="Calibri"/>
        </w:rPr>
        <w:t xml:space="preserve"> </w:t>
      </w:r>
      <w:r w:rsidRPr="008F73EB">
        <w:rPr>
          <w:rFonts w:ascii="Calibri" w:hAnsi="Calibri"/>
        </w:rPr>
        <w:t>assessed and recognized by the Organization following the procedures and</w:t>
      </w:r>
      <w:r>
        <w:rPr>
          <w:rFonts w:ascii="Calibri" w:hAnsi="Calibri"/>
        </w:rPr>
        <w:t xml:space="preserve"> c</w:t>
      </w:r>
      <w:r w:rsidRPr="008F73EB">
        <w:rPr>
          <w:rFonts w:ascii="Calibri" w:hAnsi="Calibri"/>
        </w:rPr>
        <w:t>riteria set out in resolutions A.1046(27) and A.915(22), as appropriate, and</w:t>
      </w:r>
      <w:r>
        <w:rPr>
          <w:rFonts w:ascii="Calibri" w:hAnsi="Calibri"/>
        </w:rPr>
        <w:t xml:space="preserve"> </w:t>
      </w:r>
      <w:r w:rsidRPr="008F73EB">
        <w:rPr>
          <w:rFonts w:ascii="Calibri" w:hAnsi="Calibri"/>
        </w:rPr>
        <w:t>on this basis performance standards for receiver equipment were developed;</w:t>
      </w:r>
    </w:p>
    <w:p w14:paraId="1C1A84BB" w14:textId="0C493AB6" w:rsidR="008F73EB" w:rsidRDefault="008F73EB" w:rsidP="00E01DBA">
      <w:pPr>
        <w:pStyle w:val="BodyText"/>
        <w:numPr>
          <w:ilvl w:val="0"/>
          <w:numId w:val="22"/>
        </w:numPr>
        <w:rPr>
          <w:rFonts w:ascii="Calibri" w:hAnsi="Calibri"/>
        </w:rPr>
      </w:pPr>
      <w:r w:rsidRPr="008F73EB">
        <w:rPr>
          <w:rFonts w:ascii="Calibri" w:hAnsi="Calibri"/>
          <w:b/>
        </w:rPr>
        <w:t>procedures and/or criteria for the recognition of augmentation systems as part of the Worldwide Radionavigation System were not clearly established by the Organization;</w:t>
      </w:r>
      <w:r w:rsidRPr="008F73EB">
        <w:rPr>
          <w:rFonts w:ascii="Calibri" w:hAnsi="Calibri"/>
        </w:rPr>
        <w:t xml:space="preserve"> and</w:t>
      </w:r>
    </w:p>
    <w:p w14:paraId="2F51C59F" w14:textId="6487C586" w:rsidR="008F73EB" w:rsidRPr="008F73EB" w:rsidRDefault="008F73EB" w:rsidP="00E01DBA">
      <w:pPr>
        <w:pStyle w:val="BodyText"/>
        <w:numPr>
          <w:ilvl w:val="0"/>
          <w:numId w:val="22"/>
        </w:numPr>
        <w:rPr>
          <w:rFonts w:ascii="Calibri" w:hAnsi="Calibri"/>
        </w:rPr>
      </w:pPr>
      <w:r w:rsidRPr="008F73EB">
        <w:rPr>
          <w:rFonts w:ascii="Calibri" w:hAnsi="Calibri"/>
        </w:rPr>
        <w:t>augmentation systems were proposed as new functionalities or capabilities for</w:t>
      </w:r>
      <w:r>
        <w:rPr>
          <w:rFonts w:ascii="Calibri" w:hAnsi="Calibri"/>
        </w:rPr>
        <w:t xml:space="preserve"> </w:t>
      </w:r>
      <w:r w:rsidRPr="008F73EB">
        <w:rPr>
          <w:rFonts w:ascii="Calibri" w:hAnsi="Calibri"/>
        </w:rPr>
        <w:t>GNSS shipborne receiver equipment.</w:t>
      </w:r>
    </w:p>
    <w:p w14:paraId="6F172A38" w14:textId="5E22A6B0" w:rsidR="008F73EB" w:rsidRPr="008F73EB" w:rsidRDefault="008F73EB" w:rsidP="00E01DBA">
      <w:pPr>
        <w:pStyle w:val="BodyText"/>
        <w:rPr>
          <w:rFonts w:ascii="Calibri" w:hAnsi="Calibri"/>
        </w:rPr>
      </w:pPr>
      <w:r>
        <w:rPr>
          <w:rFonts w:ascii="Calibri" w:hAnsi="Calibri"/>
        </w:rPr>
        <w:t>T</w:t>
      </w:r>
      <w:r w:rsidRPr="008F73EB">
        <w:rPr>
          <w:rFonts w:ascii="Calibri" w:hAnsi="Calibri"/>
        </w:rPr>
        <w:t>he Committee agreed to include in its post-biennial agenda:</w:t>
      </w:r>
    </w:p>
    <w:p w14:paraId="66BB8ECB" w14:textId="16F96D71" w:rsidR="008F73EB" w:rsidRPr="008F73EB" w:rsidRDefault="008F73EB" w:rsidP="00E01DBA">
      <w:pPr>
        <w:pStyle w:val="BodyText"/>
        <w:numPr>
          <w:ilvl w:val="0"/>
          <w:numId w:val="24"/>
        </w:numPr>
        <w:rPr>
          <w:rFonts w:ascii="Calibri" w:hAnsi="Calibri"/>
          <w:b/>
        </w:rPr>
      </w:pPr>
      <w:r w:rsidRPr="008F73EB">
        <w:rPr>
          <w:rFonts w:ascii="Calibri" w:hAnsi="Calibri"/>
          <w:b/>
        </w:rPr>
        <w:t>an output on "Development of procedures and requirements for the recognition of augmentation systems in the World-wide radionavigation system", with one session needed to complete the item; and</w:t>
      </w:r>
    </w:p>
    <w:p w14:paraId="4461E3AD" w14:textId="006483C8" w:rsidR="008F73EB" w:rsidRPr="008F73EB" w:rsidRDefault="008F73EB" w:rsidP="00E01DBA">
      <w:pPr>
        <w:pStyle w:val="BodyText"/>
        <w:numPr>
          <w:ilvl w:val="0"/>
          <w:numId w:val="24"/>
        </w:numPr>
        <w:rPr>
          <w:rFonts w:ascii="Calibri" w:hAnsi="Calibri"/>
        </w:rPr>
      </w:pPr>
      <w:r w:rsidRPr="008F73EB">
        <w:rPr>
          <w:rFonts w:ascii="Calibri" w:hAnsi="Calibri"/>
        </w:rPr>
        <w:t>an output on "Development of performance standards for dual frequency</w:t>
      </w:r>
      <w:r>
        <w:rPr>
          <w:rFonts w:ascii="Calibri" w:hAnsi="Calibri"/>
        </w:rPr>
        <w:t xml:space="preserve"> </w:t>
      </w:r>
      <w:r w:rsidRPr="008F73EB">
        <w:rPr>
          <w:rFonts w:ascii="Calibri" w:hAnsi="Calibri"/>
        </w:rPr>
        <w:t>multi-constellation satellite-based augmentation systems (DFMC SBAS) and</w:t>
      </w:r>
      <w:r>
        <w:rPr>
          <w:rFonts w:ascii="Calibri" w:hAnsi="Calibri"/>
        </w:rPr>
        <w:t xml:space="preserve"> </w:t>
      </w:r>
      <w:r w:rsidRPr="008F73EB">
        <w:rPr>
          <w:rFonts w:ascii="Calibri" w:hAnsi="Calibri"/>
        </w:rPr>
        <w:t>advanced receiver autonomous integrity monitoring (ARAIM) in shipborne</w:t>
      </w:r>
      <w:r>
        <w:rPr>
          <w:rFonts w:ascii="Calibri" w:hAnsi="Calibri"/>
        </w:rPr>
        <w:t xml:space="preserve"> </w:t>
      </w:r>
      <w:r w:rsidRPr="008F73EB">
        <w:rPr>
          <w:rFonts w:ascii="Calibri" w:hAnsi="Calibri"/>
        </w:rPr>
        <w:t>radionavigation receivers", with two sessions needed to complete the item,</w:t>
      </w:r>
    </w:p>
    <w:p w14:paraId="1F281C20" w14:textId="19CB0A01" w:rsidR="008F73EB" w:rsidRDefault="008F73EB" w:rsidP="00E01DBA">
      <w:pPr>
        <w:pStyle w:val="BodyText"/>
        <w:rPr>
          <w:rFonts w:ascii="Calibri" w:hAnsi="Calibri"/>
        </w:rPr>
      </w:pPr>
      <w:r w:rsidRPr="008F73EB">
        <w:rPr>
          <w:rFonts w:ascii="Calibri" w:hAnsi="Calibri"/>
        </w:rPr>
        <w:t>assigning the NCSR Sub-Committee as the associated organ. In doing so, the Committee</w:t>
      </w:r>
      <w:r>
        <w:rPr>
          <w:rFonts w:ascii="Calibri" w:hAnsi="Calibri"/>
        </w:rPr>
        <w:t xml:space="preserve"> </w:t>
      </w:r>
      <w:r w:rsidRPr="008F73EB">
        <w:rPr>
          <w:rFonts w:ascii="Calibri" w:hAnsi="Calibri"/>
        </w:rPr>
        <w:t>agreed that the performance standards for DFMC SBAS and ARAIM in shipborne</w:t>
      </w:r>
      <w:r>
        <w:rPr>
          <w:rFonts w:ascii="Calibri" w:hAnsi="Calibri"/>
        </w:rPr>
        <w:t xml:space="preserve"> </w:t>
      </w:r>
      <w:r w:rsidRPr="008F73EB">
        <w:rPr>
          <w:rFonts w:ascii="Calibri" w:hAnsi="Calibri"/>
        </w:rPr>
        <w:t xml:space="preserve">radionavigation receivers should be developed only after the </w:t>
      </w:r>
      <w:r w:rsidRPr="008F73EB">
        <w:rPr>
          <w:rFonts w:ascii="Calibri" w:hAnsi="Calibri"/>
          <w:b/>
        </w:rPr>
        <w:t>approval/adoption of the necessary procedures and requirements for the recognition of augmentation systems</w:t>
      </w:r>
      <w:r>
        <w:rPr>
          <w:rFonts w:ascii="Calibri" w:hAnsi="Calibri"/>
        </w:rPr>
        <w:t>.</w:t>
      </w:r>
    </w:p>
    <w:p w14:paraId="193BEEBF" w14:textId="77777777" w:rsidR="008F73EB" w:rsidRDefault="008F73EB" w:rsidP="00E01DBA">
      <w:pPr>
        <w:pStyle w:val="BodyText"/>
        <w:rPr>
          <w:rFonts w:ascii="Calibri" w:hAnsi="Calibri"/>
        </w:rPr>
      </w:pPr>
    </w:p>
    <w:p w14:paraId="3C575A26" w14:textId="77777777" w:rsidR="001C44A3" w:rsidRPr="00605E43" w:rsidRDefault="00BD4E6F" w:rsidP="00E01DBA">
      <w:pPr>
        <w:pStyle w:val="Heading2"/>
        <w:jc w:val="both"/>
      </w:pPr>
      <w:r w:rsidRPr="00605E43">
        <w:t>Purpose</w:t>
      </w:r>
      <w:r w:rsidR="004D1D85" w:rsidRPr="00605E43">
        <w:t xml:space="preserve"> of the document</w:t>
      </w:r>
    </w:p>
    <w:p w14:paraId="009E68A2" w14:textId="43BB6261" w:rsidR="00422134" w:rsidRDefault="00422134" w:rsidP="00E01DBA">
      <w:pPr>
        <w:pStyle w:val="BodyText"/>
        <w:rPr>
          <w:rFonts w:ascii="Calibri" w:hAnsi="Calibri"/>
        </w:rPr>
      </w:pPr>
      <w:r>
        <w:rPr>
          <w:rFonts w:ascii="Calibri" w:hAnsi="Calibri"/>
        </w:rPr>
        <w:t xml:space="preserve">The purpose of the document is to </w:t>
      </w:r>
      <w:r w:rsidR="00D65E70">
        <w:rPr>
          <w:rFonts w:ascii="Calibri" w:hAnsi="Calibri"/>
        </w:rPr>
        <w:t xml:space="preserve">inform IALA ENG on the resolution from IMO and to request to the </w:t>
      </w:r>
      <w:r w:rsidR="005D57DB">
        <w:rPr>
          <w:rFonts w:ascii="Calibri" w:hAnsi="Calibri"/>
        </w:rPr>
        <w:t>ENG Committee</w:t>
      </w:r>
      <w:r w:rsidR="00D65E70">
        <w:rPr>
          <w:rFonts w:ascii="Calibri" w:hAnsi="Calibri"/>
        </w:rPr>
        <w:t xml:space="preserve"> to prepare an input paper </w:t>
      </w:r>
      <w:r w:rsidR="00BB3B9F" w:rsidRPr="00BB3B9F">
        <w:rPr>
          <w:rFonts w:ascii="Calibri" w:hAnsi="Calibri"/>
        </w:rPr>
        <w:t xml:space="preserve">for the next IMO NCSR with the objective of initiating </w:t>
      </w:r>
      <w:r w:rsidR="00BB3B9F">
        <w:rPr>
          <w:rFonts w:ascii="Calibri" w:hAnsi="Calibri"/>
        </w:rPr>
        <w:t xml:space="preserve">the </w:t>
      </w:r>
      <w:r w:rsidR="00D65E70">
        <w:rPr>
          <w:rFonts w:ascii="Calibri" w:hAnsi="Calibri"/>
        </w:rPr>
        <w:t>“</w:t>
      </w:r>
      <w:r w:rsidR="00D65E70" w:rsidRPr="008F73EB">
        <w:rPr>
          <w:rFonts w:ascii="Calibri" w:hAnsi="Calibri"/>
          <w:b/>
        </w:rPr>
        <w:t>Development of procedures and requirements for the recognition of augmentation systems in the World-wide radionavigation system</w:t>
      </w:r>
      <w:r w:rsidR="00D65E70">
        <w:rPr>
          <w:rFonts w:ascii="Calibri" w:hAnsi="Calibri"/>
        </w:rPr>
        <w:t>”</w:t>
      </w:r>
      <w:r w:rsidR="00BB3B9F" w:rsidRPr="00BB3B9F">
        <w:t xml:space="preserve"> </w:t>
      </w:r>
      <w:r w:rsidR="00BB3B9F" w:rsidRPr="00BB3B9F">
        <w:rPr>
          <w:rFonts w:ascii="Calibri" w:hAnsi="Calibri"/>
        </w:rPr>
        <w:t>based on already existing elements from IMO standards and IALA guidelines</w:t>
      </w:r>
      <w:r w:rsidR="00BB3B9F">
        <w:rPr>
          <w:rFonts w:ascii="Calibri" w:hAnsi="Calibri"/>
        </w:rPr>
        <w:t xml:space="preserve">. </w:t>
      </w:r>
    </w:p>
    <w:p w14:paraId="6B3C6974" w14:textId="77777777" w:rsidR="00381F7B" w:rsidRDefault="00D65E70" w:rsidP="00E01DBA">
      <w:pPr>
        <w:pStyle w:val="BodyText"/>
        <w:rPr>
          <w:rFonts w:ascii="Calibri" w:hAnsi="Calibri"/>
        </w:rPr>
      </w:pPr>
      <w:r>
        <w:rPr>
          <w:rFonts w:ascii="Calibri" w:hAnsi="Calibri"/>
        </w:rPr>
        <w:t xml:space="preserve">The new </w:t>
      </w:r>
      <w:r w:rsidR="005D57DB">
        <w:rPr>
          <w:rFonts w:ascii="Calibri" w:hAnsi="Calibri"/>
        </w:rPr>
        <w:t>input</w:t>
      </w:r>
      <w:r>
        <w:rPr>
          <w:rFonts w:ascii="Calibri" w:hAnsi="Calibri"/>
        </w:rPr>
        <w:t xml:space="preserve"> paper should consider:</w:t>
      </w:r>
    </w:p>
    <w:p w14:paraId="1A2D3218" w14:textId="29CCA751" w:rsidR="00381F7B" w:rsidRDefault="00D65E70" w:rsidP="00642EBE">
      <w:pPr>
        <w:pStyle w:val="BodyText"/>
        <w:numPr>
          <w:ilvl w:val="0"/>
          <w:numId w:val="25"/>
        </w:numPr>
        <w:rPr>
          <w:rFonts w:ascii="Calibri" w:hAnsi="Calibri"/>
        </w:rPr>
      </w:pPr>
      <w:r>
        <w:rPr>
          <w:rFonts w:ascii="Calibri" w:hAnsi="Calibri"/>
        </w:rPr>
        <w:t>elements already existing for recognition of GNSS systems in IMO resolution A.1046</w:t>
      </w:r>
      <w:r w:rsidR="00381F7B">
        <w:rPr>
          <w:rFonts w:ascii="Calibri" w:hAnsi="Calibri"/>
        </w:rPr>
        <w:t>;</w:t>
      </w:r>
    </w:p>
    <w:p w14:paraId="769165C1" w14:textId="3F0C0CE4" w:rsidR="00D65E70" w:rsidRDefault="00D65E70" w:rsidP="00642EBE">
      <w:pPr>
        <w:pStyle w:val="BodyText"/>
        <w:numPr>
          <w:ilvl w:val="0"/>
          <w:numId w:val="25"/>
        </w:numPr>
        <w:rPr>
          <w:rFonts w:ascii="Calibri" w:hAnsi="Calibri"/>
        </w:rPr>
      </w:pPr>
      <w:r>
        <w:rPr>
          <w:rFonts w:ascii="Calibri" w:hAnsi="Calibri"/>
        </w:rPr>
        <w:t xml:space="preserve">elements existing in </w:t>
      </w:r>
      <w:r w:rsidRPr="005D57DB">
        <w:rPr>
          <w:rFonts w:ascii="Calibri" w:hAnsi="Calibri"/>
          <w:b/>
        </w:rPr>
        <w:t xml:space="preserve">IALA </w:t>
      </w:r>
      <w:r w:rsidR="006C20EC">
        <w:rPr>
          <w:rFonts w:ascii="Calibri" w:hAnsi="Calibri"/>
          <w:b/>
        </w:rPr>
        <w:t xml:space="preserve">Recommendations and </w:t>
      </w:r>
      <w:r w:rsidRPr="005D57DB">
        <w:rPr>
          <w:rFonts w:ascii="Calibri" w:hAnsi="Calibri"/>
          <w:b/>
        </w:rPr>
        <w:t>Guidelines</w:t>
      </w:r>
      <w:r>
        <w:rPr>
          <w:rFonts w:ascii="Calibri" w:hAnsi="Calibri"/>
        </w:rPr>
        <w:t xml:space="preserve"> </w:t>
      </w:r>
      <w:r w:rsidRPr="005D57DB">
        <w:rPr>
          <w:rFonts w:ascii="Calibri" w:hAnsi="Calibri"/>
          <w:b/>
        </w:rPr>
        <w:t>related to augmentation systems</w:t>
      </w:r>
      <w:r w:rsidR="00270018">
        <w:rPr>
          <w:rFonts w:ascii="Calibri" w:hAnsi="Calibri"/>
        </w:rPr>
        <w:t xml:space="preserve"> </w:t>
      </w:r>
      <w:r>
        <w:rPr>
          <w:rFonts w:ascii="Calibri" w:hAnsi="Calibri"/>
        </w:rPr>
        <w:t xml:space="preserve">e.g. </w:t>
      </w:r>
      <w:r w:rsidR="006C20EC">
        <w:rPr>
          <w:rFonts w:ascii="Calibri" w:hAnsi="Calibri"/>
        </w:rPr>
        <w:t>R</w:t>
      </w:r>
      <w:r w:rsidR="006C20EC">
        <w:rPr>
          <w:rFonts w:ascii="Calibri" w:hAnsi="Calibri"/>
        </w:rPr>
        <w:noBreakHyphen/>
        <w:t>1022 on recognition of augmentation services, G-</w:t>
      </w:r>
      <w:r>
        <w:rPr>
          <w:rFonts w:ascii="Calibri" w:hAnsi="Calibri"/>
        </w:rPr>
        <w:t xml:space="preserve">1112 on performance monitoring of DGNSS services and </w:t>
      </w:r>
      <w:r w:rsidR="006C20EC">
        <w:rPr>
          <w:rFonts w:ascii="Calibri" w:hAnsi="Calibri"/>
        </w:rPr>
        <w:t>G-</w:t>
      </w:r>
      <w:r>
        <w:rPr>
          <w:rFonts w:ascii="Calibri" w:hAnsi="Calibri"/>
        </w:rPr>
        <w:t>1152 on SBAS Maritime Service.</w:t>
      </w:r>
    </w:p>
    <w:p w14:paraId="6105D3B2" w14:textId="77777777" w:rsidR="008321E9" w:rsidRPr="007A395D" w:rsidRDefault="008321E9" w:rsidP="00E01DBA">
      <w:pPr>
        <w:pStyle w:val="BodyText"/>
        <w:rPr>
          <w:rFonts w:ascii="Calibri" w:hAnsi="Calibri"/>
        </w:rPr>
      </w:pPr>
    </w:p>
    <w:p w14:paraId="041E9135" w14:textId="77777777" w:rsidR="00A446C9" w:rsidRPr="007A395D" w:rsidRDefault="00A446C9" w:rsidP="00E01DBA">
      <w:pPr>
        <w:pStyle w:val="Heading1"/>
        <w:jc w:val="both"/>
      </w:pPr>
      <w:r w:rsidRPr="007A395D">
        <w:t>Discussion</w:t>
      </w:r>
    </w:p>
    <w:p w14:paraId="017B599A" w14:textId="22518D6A" w:rsidR="00BB3B9F" w:rsidRPr="00BB3B9F" w:rsidRDefault="00BB3B9F" w:rsidP="00BB3B9F">
      <w:pPr>
        <w:pStyle w:val="BodyText"/>
        <w:rPr>
          <w:rFonts w:ascii="Calibri" w:hAnsi="Calibri"/>
        </w:rPr>
      </w:pPr>
      <w:r w:rsidRPr="00BB3B9F">
        <w:rPr>
          <w:rFonts w:ascii="Calibri" w:hAnsi="Calibri"/>
        </w:rPr>
        <w:t xml:space="preserve">It is considered that IMO standards already include elements that could support this work (e.g. IMO resolution A.1046). Furthermore, IALA </w:t>
      </w:r>
      <w:r w:rsidR="006C20EC">
        <w:rPr>
          <w:rFonts w:ascii="Calibri" w:hAnsi="Calibri"/>
        </w:rPr>
        <w:t>Recommendations and Guidelines (noted above)</w:t>
      </w:r>
      <w:r w:rsidRPr="00BB3B9F">
        <w:rPr>
          <w:rFonts w:ascii="Calibri" w:hAnsi="Calibri"/>
        </w:rPr>
        <w:t xml:space="preserve"> would be very valuable input</w:t>
      </w:r>
      <w:r w:rsidR="006C20EC">
        <w:rPr>
          <w:rFonts w:ascii="Calibri" w:hAnsi="Calibri"/>
        </w:rPr>
        <w:t>s</w:t>
      </w:r>
      <w:r w:rsidRPr="00BB3B9F">
        <w:rPr>
          <w:rFonts w:ascii="Calibri" w:hAnsi="Calibri"/>
        </w:rPr>
        <w:t xml:space="preserve"> for the discussion as well.</w:t>
      </w:r>
    </w:p>
    <w:p w14:paraId="45319C05" w14:textId="6ACC58C5" w:rsidR="00DA4294" w:rsidRDefault="00BB3B9F" w:rsidP="00E01DBA">
      <w:pPr>
        <w:pStyle w:val="BodyText"/>
        <w:rPr>
          <w:rFonts w:ascii="Calibri" w:hAnsi="Calibri"/>
        </w:rPr>
      </w:pPr>
      <w:r w:rsidRPr="00BB3B9F">
        <w:rPr>
          <w:rFonts w:ascii="Calibri" w:hAnsi="Calibri"/>
        </w:rPr>
        <w:t>Consequently, it is proposed that IALA ENG drafts an input paper for the next IMO NCSR referring to such existing material in order to initiate the discussion on GNSS augmentation systems so that they are considered part of the WWRNS.”</w:t>
      </w:r>
    </w:p>
    <w:p w14:paraId="3C765BD4" w14:textId="340D2140" w:rsidR="006C20EC" w:rsidRDefault="006C20EC" w:rsidP="00E01DBA">
      <w:pPr>
        <w:pStyle w:val="BodyText"/>
        <w:rPr>
          <w:rFonts w:ascii="Calibri" w:hAnsi="Calibri"/>
        </w:rPr>
      </w:pPr>
      <w:r>
        <w:rPr>
          <w:rFonts w:ascii="Calibri" w:hAnsi="Calibri"/>
        </w:rPr>
        <w:t>Such input paper could make reference to the need for augmentation in order to achieve the levels of integrity as set out in IMO Resolution A.1046 and the wider accuracy and integrity requirements as described in IMO Resolution A.915.</w:t>
      </w:r>
    </w:p>
    <w:p w14:paraId="76C17654" w14:textId="31ADF17A" w:rsidR="006C20EC" w:rsidRDefault="006C20EC" w:rsidP="00E01DBA">
      <w:pPr>
        <w:pStyle w:val="BodyText"/>
        <w:rPr>
          <w:rFonts w:ascii="Calibri" w:hAnsi="Calibri"/>
        </w:rPr>
      </w:pPr>
      <w:r>
        <w:rPr>
          <w:rFonts w:ascii="Calibri" w:hAnsi="Calibri"/>
        </w:rPr>
        <w:t>Given IALA’s current status as an observer within the IMO, consideration should also be given to seeking co</w:t>
      </w:r>
      <w:r>
        <w:rPr>
          <w:rFonts w:ascii="Calibri" w:hAnsi="Calibri"/>
        </w:rPr>
        <w:noBreakHyphen/>
        <w:t xml:space="preserve">sponsorship of the paper by an IMO member state. </w:t>
      </w:r>
    </w:p>
    <w:p w14:paraId="21173446" w14:textId="77777777" w:rsidR="006C20EC" w:rsidRPr="00DA4294" w:rsidRDefault="006C20EC" w:rsidP="00E01DBA">
      <w:pPr>
        <w:pStyle w:val="BodyText"/>
        <w:rPr>
          <w:rFonts w:ascii="Calibri" w:hAnsi="Calibri"/>
        </w:rPr>
      </w:pPr>
    </w:p>
    <w:p w14:paraId="4B92F3B6" w14:textId="2D3F7F59" w:rsidR="00DA4294" w:rsidRDefault="00DA4294" w:rsidP="00E01DBA">
      <w:pPr>
        <w:pStyle w:val="Heading2"/>
        <w:jc w:val="both"/>
      </w:pPr>
      <w:r w:rsidRPr="00DA4294">
        <w:t>Schedule</w:t>
      </w:r>
    </w:p>
    <w:p w14:paraId="411069AA" w14:textId="5B29148F" w:rsidR="004E4B9D" w:rsidRDefault="00D93787" w:rsidP="00E01DBA">
      <w:pPr>
        <w:pStyle w:val="BodyText"/>
        <w:rPr>
          <w:rFonts w:ascii="Calibri" w:hAnsi="Calibri"/>
        </w:rPr>
      </w:pPr>
      <w:r>
        <w:rPr>
          <w:noProof/>
        </w:rPr>
        <w:drawing>
          <wp:inline distT="0" distB="0" distL="0" distR="0" wp14:anchorId="4DFA2791" wp14:editId="10CCCF41">
            <wp:extent cx="5731510" cy="1119304"/>
            <wp:effectExtent l="0" t="0" r="2540" b="5080"/>
            <wp:docPr id="5" name="Picture 5" descr="cid:image010.jpg@01D9DB35.08C295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10.jpg@01D9DB35.08C295E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31510" cy="1119304"/>
                    </a:xfrm>
                    <a:prstGeom prst="rect">
                      <a:avLst/>
                    </a:prstGeom>
                    <a:noFill/>
                    <a:ln>
                      <a:noFill/>
                    </a:ln>
                  </pic:spPr>
                </pic:pic>
              </a:graphicData>
            </a:graphic>
          </wp:inline>
        </w:drawing>
      </w:r>
    </w:p>
    <w:p w14:paraId="52069C92" w14:textId="4A24F192" w:rsidR="00D93787" w:rsidRDefault="00D93787" w:rsidP="00E01DBA">
      <w:pPr>
        <w:pStyle w:val="BodyText"/>
        <w:rPr>
          <w:rFonts w:ascii="Calibri" w:hAnsi="Calibri"/>
        </w:rPr>
      </w:pPr>
      <w:r>
        <w:rPr>
          <w:noProof/>
        </w:rPr>
        <w:drawing>
          <wp:inline distT="0" distB="0" distL="0" distR="0" wp14:anchorId="4D7F17FC" wp14:editId="1FC7F3F8">
            <wp:extent cx="5731510" cy="428313"/>
            <wp:effectExtent l="0" t="0" r="2540" b="0"/>
            <wp:docPr id="6" name="Picture 6" descr="cid:image012.jpg@01D9DB35.08C295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2.jpg@01D9DB35.08C295E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731510" cy="428313"/>
                    </a:xfrm>
                    <a:prstGeom prst="rect">
                      <a:avLst/>
                    </a:prstGeom>
                    <a:noFill/>
                    <a:ln>
                      <a:noFill/>
                    </a:ln>
                  </pic:spPr>
                </pic:pic>
              </a:graphicData>
            </a:graphic>
          </wp:inline>
        </w:drawing>
      </w:r>
    </w:p>
    <w:p w14:paraId="065449C1" w14:textId="1EEE0453" w:rsidR="00D93787" w:rsidRDefault="00D93787" w:rsidP="00E01DBA">
      <w:pPr>
        <w:pStyle w:val="BodyText"/>
        <w:rPr>
          <w:rFonts w:ascii="Calibri" w:hAnsi="Calibri"/>
        </w:rPr>
      </w:pPr>
      <w:r>
        <w:rPr>
          <w:rFonts w:ascii="Calibri" w:hAnsi="Calibri"/>
        </w:rPr>
        <w:t>IALA input</w:t>
      </w:r>
      <w:r w:rsidR="00E01DBA">
        <w:rPr>
          <w:rFonts w:ascii="Calibri" w:hAnsi="Calibri"/>
        </w:rPr>
        <w:t>/info</w:t>
      </w:r>
      <w:r>
        <w:rPr>
          <w:rFonts w:ascii="Calibri" w:hAnsi="Calibri"/>
        </w:rPr>
        <w:t xml:space="preserve"> paper should be ready by February 2024 for its submission to IMO NCSR.</w:t>
      </w:r>
      <w:r w:rsidR="00BC4E82">
        <w:rPr>
          <w:rFonts w:ascii="Calibri" w:hAnsi="Calibri"/>
        </w:rPr>
        <w:t xml:space="preserve"> The work is proposed to be performed in 1 session of the ENG committee in October 2023.</w:t>
      </w:r>
    </w:p>
    <w:p w14:paraId="372AE9FF" w14:textId="77777777" w:rsidR="00D93787" w:rsidRDefault="00D93787" w:rsidP="00E01DBA">
      <w:pPr>
        <w:pStyle w:val="BodyText"/>
        <w:rPr>
          <w:rFonts w:ascii="Calibri" w:hAnsi="Calibri"/>
        </w:rPr>
      </w:pPr>
    </w:p>
    <w:p w14:paraId="7F998D8D" w14:textId="40D843F2" w:rsidR="00DA4294" w:rsidRDefault="00DA4294" w:rsidP="00E01DBA">
      <w:pPr>
        <w:pStyle w:val="Heading2"/>
        <w:jc w:val="both"/>
      </w:pPr>
      <w:bookmarkStart w:id="0" w:name="_Ref144985463"/>
      <w:r>
        <w:t>Future work</w:t>
      </w:r>
      <w:bookmarkEnd w:id="0"/>
    </w:p>
    <w:p w14:paraId="5F9C732B" w14:textId="4317D08A" w:rsidR="00DA4294" w:rsidRPr="000442A4" w:rsidRDefault="00E01DBA" w:rsidP="00E01DBA">
      <w:pPr>
        <w:pStyle w:val="BodyText"/>
        <w:rPr>
          <w:lang w:eastAsia="de-DE"/>
        </w:rPr>
      </w:pPr>
      <w:r>
        <w:rPr>
          <w:rFonts w:ascii="Calibri" w:hAnsi="Calibri"/>
        </w:rPr>
        <w:t>A</w:t>
      </w:r>
      <w:r w:rsidRPr="00E01DBA">
        <w:rPr>
          <w:rFonts w:ascii="Calibri" w:hAnsi="Calibri"/>
        </w:rPr>
        <w:t>fter the approval/adoption</w:t>
      </w:r>
      <w:r>
        <w:rPr>
          <w:rFonts w:ascii="Calibri" w:hAnsi="Calibri"/>
        </w:rPr>
        <w:t xml:space="preserve"> in IMO</w:t>
      </w:r>
      <w:r w:rsidRPr="00E01DBA">
        <w:rPr>
          <w:rFonts w:ascii="Calibri" w:hAnsi="Calibri"/>
        </w:rPr>
        <w:t xml:space="preserve"> of the necessary procedures and requirements for the </w:t>
      </w:r>
      <w:r w:rsidRPr="00E01DBA">
        <w:rPr>
          <w:rFonts w:ascii="Calibri" w:hAnsi="Calibri"/>
          <w:b/>
        </w:rPr>
        <w:t>recognition of augmentation systems</w:t>
      </w:r>
      <w:r>
        <w:rPr>
          <w:rFonts w:ascii="Calibri" w:hAnsi="Calibri"/>
        </w:rPr>
        <w:t xml:space="preserve">, it will be possible to start the work of </w:t>
      </w:r>
      <w:r w:rsidRPr="00E01DBA">
        <w:rPr>
          <w:rFonts w:ascii="Calibri" w:hAnsi="Calibri"/>
        </w:rPr>
        <w:t>performance standards for DFMC SBAS and ARAIM in shipborne radionavigation receivers.</w:t>
      </w:r>
    </w:p>
    <w:p w14:paraId="1D083D92" w14:textId="77777777" w:rsidR="00180DDA" w:rsidRPr="007A395D" w:rsidRDefault="00180DDA" w:rsidP="00E01DBA">
      <w:pPr>
        <w:pStyle w:val="Heading1"/>
        <w:jc w:val="both"/>
      </w:pPr>
      <w:r w:rsidRPr="007A395D">
        <w:lastRenderedPageBreak/>
        <w:t>References</w:t>
      </w:r>
    </w:p>
    <w:p w14:paraId="181FEF20" w14:textId="599FEBBF" w:rsidR="00E01DBA" w:rsidRDefault="00E01DBA" w:rsidP="00E01DBA">
      <w:pPr>
        <w:pStyle w:val="References"/>
        <w:jc w:val="both"/>
        <w:rPr>
          <w:rFonts w:ascii="Calibri" w:hAnsi="Calibri"/>
        </w:rPr>
      </w:pPr>
      <w:bookmarkStart w:id="1" w:name="_Ref144904454"/>
      <w:r w:rsidRPr="00E01DBA">
        <w:rPr>
          <w:rFonts w:ascii="Calibri" w:hAnsi="Calibri"/>
        </w:rPr>
        <w:t>MSC 107-20 - Report Of The Maritime Safety Committee</w:t>
      </w:r>
      <w:r w:rsidR="00642EBE">
        <w:rPr>
          <w:rFonts w:ascii="Calibri" w:hAnsi="Calibri"/>
        </w:rPr>
        <w:t xml:space="preserve"> </w:t>
      </w:r>
      <w:r w:rsidRPr="00E01DBA">
        <w:rPr>
          <w:rFonts w:ascii="Calibri" w:hAnsi="Calibri"/>
        </w:rPr>
        <w:t>On Its 107Th Session (Secretariat)</w:t>
      </w:r>
    </w:p>
    <w:p w14:paraId="38500688" w14:textId="6723EFE7" w:rsidR="00E01DBA" w:rsidRDefault="00E01DBA" w:rsidP="00E01DBA">
      <w:pPr>
        <w:pStyle w:val="References"/>
        <w:jc w:val="both"/>
        <w:rPr>
          <w:rFonts w:ascii="Calibri" w:hAnsi="Calibri"/>
        </w:rPr>
      </w:pPr>
      <w:r w:rsidRPr="00E01DBA">
        <w:rPr>
          <w:rFonts w:ascii="Calibri" w:hAnsi="Calibri"/>
        </w:rPr>
        <w:t>MSC 107-20-Add.1 - Report Of The Maritime Safety Committee</w:t>
      </w:r>
      <w:r w:rsidR="00642EBE">
        <w:rPr>
          <w:rFonts w:ascii="Calibri" w:hAnsi="Calibri"/>
        </w:rPr>
        <w:t xml:space="preserve"> </w:t>
      </w:r>
      <w:r w:rsidRPr="00E01DBA">
        <w:rPr>
          <w:rFonts w:ascii="Calibri" w:hAnsi="Calibri"/>
        </w:rPr>
        <w:t>On Its 107Th Session (Secretariat)</w:t>
      </w:r>
    </w:p>
    <w:p w14:paraId="627CD44E" w14:textId="37782B3F" w:rsidR="00A45E9F" w:rsidRPr="00A45E9F" w:rsidRDefault="00A45E9F" w:rsidP="00E01DBA">
      <w:pPr>
        <w:pStyle w:val="References"/>
        <w:rPr>
          <w:rFonts w:ascii="Calibri" w:hAnsi="Calibri"/>
        </w:rPr>
      </w:pPr>
      <w:r w:rsidRPr="00A45E9F">
        <w:rPr>
          <w:rFonts w:ascii="Calibri" w:hAnsi="Calibri"/>
        </w:rPr>
        <w:t xml:space="preserve">IMO Resolution A.1046(27) (2011), </w:t>
      </w:r>
      <w:bookmarkEnd w:id="1"/>
      <w:r w:rsidR="005D57DB">
        <w:rPr>
          <w:rFonts w:ascii="Calibri" w:hAnsi="Calibri"/>
        </w:rPr>
        <w:fldChar w:fldCharType="begin"/>
      </w:r>
      <w:r w:rsidR="005D57DB">
        <w:rPr>
          <w:rFonts w:ascii="Calibri" w:hAnsi="Calibri"/>
        </w:rPr>
        <w:instrText xml:space="preserve"> HYPERLINK "</w:instrText>
      </w:r>
      <w:r w:rsidR="005D57DB" w:rsidRPr="005D57DB">
        <w:rPr>
          <w:rFonts w:ascii="Calibri" w:hAnsi="Calibri"/>
        </w:rPr>
        <w:instrText>https://wwwcdn.imo.org/localresources/en/KnowledgeCentre/IndexofIMOResolutions/AssemblyDocuments/A.1046(27).pdf</w:instrText>
      </w:r>
      <w:r w:rsidR="005D57DB">
        <w:rPr>
          <w:rFonts w:ascii="Calibri" w:hAnsi="Calibri"/>
        </w:rPr>
        <w:instrText xml:space="preserve">" </w:instrText>
      </w:r>
      <w:r w:rsidR="005D57DB">
        <w:rPr>
          <w:rFonts w:ascii="Calibri" w:hAnsi="Calibri"/>
        </w:rPr>
      </w:r>
      <w:r w:rsidR="005D57DB">
        <w:rPr>
          <w:rFonts w:ascii="Calibri" w:hAnsi="Calibri"/>
        </w:rPr>
        <w:fldChar w:fldCharType="separate"/>
      </w:r>
      <w:r w:rsidR="005D57DB" w:rsidRPr="003744B2">
        <w:rPr>
          <w:rStyle w:val="Hyperlink"/>
          <w:rFonts w:ascii="Calibri" w:hAnsi="Calibri"/>
        </w:rPr>
        <w:t>https://wwwcdn.imo.org/localresources/en/KnowledgeCentre/IndexofIMOResolutions/AssemblyDocuments/A.1046(27).pdf</w:t>
      </w:r>
      <w:r w:rsidR="005D57DB">
        <w:rPr>
          <w:rFonts w:ascii="Calibri" w:hAnsi="Calibri"/>
        </w:rPr>
        <w:fldChar w:fldCharType="end"/>
      </w:r>
      <w:r w:rsidR="005D57DB">
        <w:rPr>
          <w:rFonts w:ascii="Calibri" w:hAnsi="Calibri"/>
        </w:rPr>
        <w:t xml:space="preserve"> </w:t>
      </w:r>
    </w:p>
    <w:p w14:paraId="74BE496C" w14:textId="59D0C9A6" w:rsidR="005D57DB" w:rsidRPr="005D57DB" w:rsidRDefault="005D57DB" w:rsidP="00E01DBA">
      <w:pPr>
        <w:pStyle w:val="References"/>
        <w:jc w:val="both"/>
        <w:rPr>
          <w:rFonts w:ascii="Calibri" w:hAnsi="Calibri"/>
          <w:lang w:val="es-ES"/>
        </w:rPr>
      </w:pPr>
      <w:bookmarkStart w:id="2" w:name="_Ref144985421"/>
      <w:r w:rsidRPr="005D57DB">
        <w:rPr>
          <w:rFonts w:ascii="Calibri" w:hAnsi="Calibri"/>
          <w:lang w:val="es-ES"/>
        </w:rPr>
        <w:t>IALA Guidelines 1112, https://www.iala-aism.org/product/g1112/</w:t>
      </w:r>
    </w:p>
    <w:p w14:paraId="10819E6C" w14:textId="790B097E" w:rsidR="00A45E9F" w:rsidRDefault="005D57DB" w:rsidP="00E01DBA">
      <w:pPr>
        <w:pStyle w:val="References"/>
        <w:jc w:val="both"/>
        <w:rPr>
          <w:rFonts w:ascii="Calibri" w:hAnsi="Calibri"/>
          <w:lang w:val="es-ES"/>
        </w:rPr>
      </w:pPr>
      <w:r w:rsidRPr="005D57DB">
        <w:rPr>
          <w:rFonts w:ascii="Calibri" w:hAnsi="Calibri"/>
          <w:lang w:val="es-ES"/>
        </w:rPr>
        <w:t>IALA Guidelines 1152</w:t>
      </w:r>
      <w:bookmarkEnd w:id="2"/>
      <w:r w:rsidRPr="005D57DB">
        <w:rPr>
          <w:rFonts w:ascii="Calibri" w:hAnsi="Calibri"/>
          <w:lang w:val="es-ES"/>
        </w:rPr>
        <w:t xml:space="preserve">, </w:t>
      </w:r>
      <w:hyperlink r:id="rId15" w:history="1">
        <w:r w:rsidR="00E01DBA" w:rsidRPr="003744B2">
          <w:rPr>
            <w:rStyle w:val="Hyperlink"/>
            <w:rFonts w:ascii="Calibri" w:hAnsi="Calibri"/>
            <w:lang w:val="es-ES"/>
          </w:rPr>
          <w:t>https://www.iala-aism.org/product/g1152/</w:t>
        </w:r>
      </w:hyperlink>
    </w:p>
    <w:p w14:paraId="61003066" w14:textId="77777777" w:rsidR="00E01DBA" w:rsidRPr="005D57DB" w:rsidRDefault="00E01DBA" w:rsidP="00E01DBA">
      <w:pPr>
        <w:pStyle w:val="References"/>
        <w:numPr>
          <w:ilvl w:val="0"/>
          <w:numId w:val="0"/>
        </w:numPr>
        <w:ind w:left="567"/>
        <w:rPr>
          <w:rFonts w:ascii="Calibri" w:hAnsi="Calibri"/>
          <w:lang w:val="es-ES"/>
        </w:rPr>
      </w:pPr>
    </w:p>
    <w:p w14:paraId="7A8D2F27" w14:textId="77777777" w:rsidR="00A446C9" w:rsidRPr="007A395D" w:rsidRDefault="00A446C9" w:rsidP="00605E43">
      <w:pPr>
        <w:pStyle w:val="Heading1"/>
      </w:pPr>
      <w:r w:rsidRPr="007A395D">
        <w:t>Action requested of the Committee</w:t>
      </w:r>
    </w:p>
    <w:p w14:paraId="1556E528" w14:textId="3B217E2C" w:rsidR="00F25BF4" w:rsidRPr="007A395D" w:rsidRDefault="00F25BF4" w:rsidP="00A446C9">
      <w:pPr>
        <w:pStyle w:val="BodyText"/>
        <w:rPr>
          <w:rFonts w:ascii="Calibri" w:hAnsi="Calibri"/>
        </w:rPr>
      </w:pPr>
      <w:r w:rsidRPr="007A395D">
        <w:rPr>
          <w:rFonts w:ascii="Calibri" w:hAnsi="Calibri"/>
        </w:rPr>
        <w:t xml:space="preserve">The Committee </w:t>
      </w:r>
      <w:r w:rsidR="00822CC4">
        <w:rPr>
          <w:rFonts w:ascii="Calibri" w:hAnsi="Calibri"/>
        </w:rPr>
        <w:t>and its members are</w:t>
      </w:r>
      <w:r w:rsidRPr="007A395D">
        <w:rPr>
          <w:rFonts w:ascii="Calibri" w:hAnsi="Calibri"/>
        </w:rPr>
        <w:t xml:space="preserve"> requested to: </w:t>
      </w:r>
    </w:p>
    <w:p w14:paraId="134CFF40" w14:textId="711C9CB5" w:rsidR="00E01DBA" w:rsidRDefault="00E01DBA" w:rsidP="008D19F6">
      <w:pPr>
        <w:pStyle w:val="List1"/>
        <w:numPr>
          <w:ilvl w:val="0"/>
          <w:numId w:val="16"/>
        </w:numPr>
        <w:rPr>
          <w:rFonts w:ascii="Calibri" w:hAnsi="Calibri"/>
        </w:rPr>
      </w:pPr>
      <w:r>
        <w:rPr>
          <w:rFonts w:ascii="Calibri" w:hAnsi="Calibri"/>
        </w:rPr>
        <w:t>Note the information provided in this paper and;</w:t>
      </w:r>
    </w:p>
    <w:p w14:paraId="41A1E375" w14:textId="4418895C" w:rsidR="00F25BF4" w:rsidRPr="007A395D" w:rsidRDefault="00822CC4" w:rsidP="008D19F6">
      <w:pPr>
        <w:pStyle w:val="List1"/>
        <w:numPr>
          <w:ilvl w:val="0"/>
          <w:numId w:val="16"/>
        </w:numPr>
        <w:rPr>
          <w:rFonts w:ascii="Calibri" w:hAnsi="Calibri"/>
        </w:rPr>
      </w:pPr>
      <w:r>
        <w:rPr>
          <w:rFonts w:ascii="Calibri" w:hAnsi="Calibri"/>
        </w:rPr>
        <w:t>Support the process of</w:t>
      </w:r>
      <w:r w:rsidR="00E01DBA">
        <w:rPr>
          <w:rFonts w:ascii="Calibri" w:hAnsi="Calibri"/>
        </w:rPr>
        <w:t xml:space="preserve"> “</w:t>
      </w:r>
      <w:r w:rsidR="00E01DBA" w:rsidRPr="008F73EB">
        <w:rPr>
          <w:rFonts w:ascii="Calibri" w:hAnsi="Calibri"/>
          <w:b/>
        </w:rPr>
        <w:t>Development of procedures and requirements for the recognition of augmentation systems in the World-wide radionavigation system</w:t>
      </w:r>
      <w:r w:rsidR="00E01DBA">
        <w:rPr>
          <w:rFonts w:ascii="Calibri" w:hAnsi="Calibri"/>
        </w:rPr>
        <w:t>” by preparing an input/information paper for submission to IMO NCSR in 2024</w:t>
      </w:r>
      <w:r w:rsidR="006C20EC">
        <w:rPr>
          <w:rFonts w:ascii="Calibri" w:hAnsi="Calibri"/>
        </w:rPr>
        <w:t xml:space="preserve">, potentially in collaboration with an IMO member state. </w:t>
      </w:r>
    </w:p>
    <w:p w14:paraId="1FC4E7A9" w14:textId="77777777" w:rsidR="004D1D85" w:rsidRPr="007A395D" w:rsidRDefault="004D1D85" w:rsidP="004D1D85">
      <w:pPr>
        <w:pStyle w:val="BodyText"/>
        <w:rPr>
          <w:rFonts w:ascii="Calibri" w:hAnsi="Calibri"/>
        </w:rPr>
      </w:pPr>
    </w:p>
    <w:sectPr w:rsidR="004D1D85" w:rsidRPr="007A395D" w:rsidSect="00196604">
      <w:headerReference w:type="even" r:id="rId16"/>
      <w:headerReference w:type="default" r:id="rId17"/>
      <w:footerReference w:type="default" r:id="rId18"/>
      <w:headerReference w:type="first" r:id="rId19"/>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50AB8" w14:textId="77777777" w:rsidR="00CB1949" w:rsidRDefault="00CB1949" w:rsidP="00362CD9">
      <w:r>
        <w:separator/>
      </w:r>
    </w:p>
  </w:endnote>
  <w:endnote w:type="continuationSeparator" w:id="0">
    <w:p w14:paraId="0591FAEA" w14:textId="77777777" w:rsidR="00CB1949" w:rsidRDefault="00CB194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F6014D6" w:rsidR="00362CD9" w:rsidRPr="00036B9E" w:rsidRDefault="003B45E5">
    <w:pPr>
      <w:pStyle w:val="Footer"/>
      <w:rPr>
        <w:rFonts w:ascii="Calibri" w:hAnsi="Calibri"/>
      </w:rPr>
    </w:pPr>
    <w:r w:rsidRPr="003B45E5">
      <w:rPr>
        <w:rFonts w:ascii="Calibri" w:hAnsi="Calibri"/>
        <w:sz w:val="20"/>
        <w:szCs w:val="20"/>
      </w:rPr>
      <w:t>Development of Procedures and Requirements for the Recognition of Augmentation Systems in the WWRNS</w:t>
    </w:r>
    <w:r>
      <w:rPr>
        <w:rFonts w:ascii="Calibri" w:hAnsi="Calibri"/>
        <w:sz w:val="20"/>
        <w:szCs w:val="20"/>
      </w:rPr>
      <w:t>.</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6C20EC">
      <w:rPr>
        <w:rFonts w:ascii="Calibri" w:hAnsi="Calibri"/>
        <w:noProof/>
      </w:rPr>
      <w:t>3</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71610" w14:textId="77777777" w:rsidR="00CB1949" w:rsidRDefault="00CB1949" w:rsidP="00362CD9">
      <w:r>
        <w:separator/>
      </w:r>
    </w:p>
  </w:footnote>
  <w:footnote w:type="continuationSeparator" w:id="0">
    <w:p w14:paraId="45035550" w14:textId="77777777" w:rsidR="00CB1949" w:rsidRDefault="00CB194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7A213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A213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7A213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54BF1A"/>
    <w:lvl w:ilvl="0">
      <w:start w:val="1"/>
      <w:numFmt w:val="decimal"/>
      <w:pStyle w:val="ListNumber4"/>
      <w:lvlText w:val="%1."/>
      <w:lvlJc w:val="left"/>
      <w:pPr>
        <w:tabs>
          <w:tab w:val="num" w:pos="1209"/>
        </w:tabs>
        <w:ind w:left="1209" w:hanging="360"/>
      </w:p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062D92"/>
    <w:multiLevelType w:val="hybridMultilevel"/>
    <w:tmpl w:val="5030AE4C"/>
    <w:lvl w:ilvl="0" w:tplc="2608499C">
      <w:start w:val="1"/>
      <w:numFmt w:val="decimal"/>
      <w:lvlText w:val="%1)"/>
      <w:lvlJc w:val="left"/>
      <w:pPr>
        <w:ind w:left="405" w:hanging="360"/>
      </w:pPr>
      <w:rPr>
        <w:rFonts w:hint="default"/>
      </w:rPr>
    </w:lvl>
    <w:lvl w:ilvl="1" w:tplc="10000019" w:tentative="1">
      <w:start w:val="1"/>
      <w:numFmt w:val="lowerLetter"/>
      <w:lvlText w:val="%2."/>
      <w:lvlJc w:val="left"/>
      <w:pPr>
        <w:ind w:left="1125" w:hanging="360"/>
      </w:pPr>
    </w:lvl>
    <w:lvl w:ilvl="2" w:tplc="1000001B" w:tentative="1">
      <w:start w:val="1"/>
      <w:numFmt w:val="lowerRoman"/>
      <w:lvlText w:val="%3."/>
      <w:lvlJc w:val="right"/>
      <w:pPr>
        <w:ind w:left="1845" w:hanging="180"/>
      </w:pPr>
    </w:lvl>
    <w:lvl w:ilvl="3" w:tplc="1000000F" w:tentative="1">
      <w:start w:val="1"/>
      <w:numFmt w:val="decimal"/>
      <w:lvlText w:val="%4."/>
      <w:lvlJc w:val="left"/>
      <w:pPr>
        <w:ind w:left="2565" w:hanging="360"/>
      </w:pPr>
    </w:lvl>
    <w:lvl w:ilvl="4" w:tplc="10000019" w:tentative="1">
      <w:start w:val="1"/>
      <w:numFmt w:val="lowerLetter"/>
      <w:lvlText w:val="%5."/>
      <w:lvlJc w:val="left"/>
      <w:pPr>
        <w:ind w:left="3285" w:hanging="360"/>
      </w:pPr>
    </w:lvl>
    <w:lvl w:ilvl="5" w:tplc="1000001B" w:tentative="1">
      <w:start w:val="1"/>
      <w:numFmt w:val="lowerRoman"/>
      <w:lvlText w:val="%6."/>
      <w:lvlJc w:val="right"/>
      <w:pPr>
        <w:ind w:left="4005" w:hanging="180"/>
      </w:pPr>
    </w:lvl>
    <w:lvl w:ilvl="6" w:tplc="1000000F" w:tentative="1">
      <w:start w:val="1"/>
      <w:numFmt w:val="decimal"/>
      <w:lvlText w:val="%7."/>
      <w:lvlJc w:val="left"/>
      <w:pPr>
        <w:ind w:left="4725" w:hanging="360"/>
      </w:pPr>
    </w:lvl>
    <w:lvl w:ilvl="7" w:tplc="10000019" w:tentative="1">
      <w:start w:val="1"/>
      <w:numFmt w:val="lowerLetter"/>
      <w:lvlText w:val="%8."/>
      <w:lvlJc w:val="left"/>
      <w:pPr>
        <w:ind w:left="5445" w:hanging="360"/>
      </w:pPr>
    </w:lvl>
    <w:lvl w:ilvl="8" w:tplc="1000001B" w:tentative="1">
      <w:start w:val="1"/>
      <w:numFmt w:val="lowerRoman"/>
      <w:lvlText w:val="%9."/>
      <w:lvlJc w:val="right"/>
      <w:pPr>
        <w:ind w:left="6165" w:hanging="180"/>
      </w:p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BC045FD"/>
    <w:multiLevelType w:val="hybridMultilevel"/>
    <w:tmpl w:val="163C5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9090B52"/>
    <w:multiLevelType w:val="hybridMultilevel"/>
    <w:tmpl w:val="F9E42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365CA0"/>
    <w:multiLevelType w:val="hybridMultilevel"/>
    <w:tmpl w:val="74149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3F5E343F"/>
    <w:multiLevelType w:val="hybridMultilevel"/>
    <w:tmpl w:val="1D9408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C0ECB670"/>
    <w:lvl w:ilvl="0">
      <w:start w:val="1"/>
      <w:numFmt w:val="decimal"/>
      <w:pStyle w:val="Figure"/>
      <w:lvlText w:val="Figure %1"/>
      <w:lvlJc w:val="left"/>
      <w:pPr>
        <w:tabs>
          <w:tab w:val="num" w:pos="8081"/>
        </w:tabs>
        <w:ind w:left="8081" w:hanging="1134"/>
      </w:pPr>
      <w:rPr>
        <w:rFonts w:ascii="Arial" w:hAnsi="Arial" w:hint="default"/>
        <w:b w:val="0"/>
        <w:i/>
        <w:sz w:val="22"/>
      </w:rPr>
    </w:lvl>
  </w:abstractNum>
  <w:abstractNum w:abstractNumId="21" w15:restartNumberingAfterBreak="0">
    <w:nsid w:val="68C52AFA"/>
    <w:multiLevelType w:val="hybridMultilevel"/>
    <w:tmpl w:val="29D8A9C0"/>
    <w:lvl w:ilvl="0" w:tplc="A5089C70">
      <w:start w:val="1"/>
      <w:numFmt w:val="lowerLetter"/>
      <w:lvlText w:val="%1)"/>
      <w:lvlJc w:val="left"/>
      <w:pPr>
        <w:ind w:left="720" w:hanging="360"/>
      </w:pPr>
      <w:rPr>
        <w:rFonts w:ascii="Calibri" w:eastAsia="Calibr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43721EC"/>
    <w:multiLevelType w:val="hybridMultilevel"/>
    <w:tmpl w:val="074AE0D0"/>
    <w:lvl w:ilvl="0" w:tplc="D36EE2C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40092529">
    <w:abstractNumId w:val="19"/>
  </w:num>
  <w:num w:numId="2" w16cid:durableId="660428686">
    <w:abstractNumId w:val="15"/>
  </w:num>
  <w:num w:numId="3" w16cid:durableId="2013558188">
    <w:abstractNumId w:val="2"/>
  </w:num>
  <w:num w:numId="4" w16cid:durableId="899092946">
    <w:abstractNumId w:val="22"/>
  </w:num>
  <w:num w:numId="5" w16cid:durableId="1847744279">
    <w:abstractNumId w:val="9"/>
  </w:num>
  <w:num w:numId="6" w16cid:durableId="1784497653">
    <w:abstractNumId w:val="7"/>
  </w:num>
  <w:num w:numId="7" w16cid:durableId="2014330678">
    <w:abstractNumId w:val="17"/>
  </w:num>
  <w:num w:numId="8" w16cid:durableId="348720162">
    <w:abstractNumId w:val="16"/>
  </w:num>
  <w:num w:numId="9" w16cid:durableId="2138139598">
    <w:abstractNumId w:val="20"/>
  </w:num>
  <w:num w:numId="10" w16cid:durableId="781806615">
    <w:abstractNumId w:val="6"/>
  </w:num>
  <w:num w:numId="11" w16cid:durableId="1325082162">
    <w:abstractNumId w:val="18"/>
  </w:num>
  <w:num w:numId="12" w16cid:durableId="1571116620">
    <w:abstractNumId w:val="13"/>
  </w:num>
  <w:num w:numId="13" w16cid:durableId="820123524">
    <w:abstractNumId w:val="11"/>
  </w:num>
  <w:num w:numId="14" w16cid:durableId="1080518102">
    <w:abstractNumId w:val="4"/>
  </w:num>
  <w:num w:numId="15" w16cid:durableId="36318414">
    <w:abstractNumId w:val="14"/>
  </w:num>
  <w:num w:numId="16" w16cid:durableId="12524242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1959617">
    <w:abstractNumId w:val="1"/>
  </w:num>
  <w:num w:numId="18" w16cid:durableId="1325283529">
    <w:abstractNumId w:val="10"/>
  </w:num>
  <w:num w:numId="19" w16cid:durableId="1457875072">
    <w:abstractNumId w:val="0"/>
  </w:num>
  <w:num w:numId="20" w16cid:durableId="1868374361">
    <w:abstractNumId w:val="8"/>
  </w:num>
  <w:num w:numId="21" w16cid:durableId="439490577">
    <w:abstractNumId w:val="23"/>
  </w:num>
  <w:num w:numId="22" w16cid:durableId="585727562">
    <w:abstractNumId w:val="21"/>
  </w:num>
  <w:num w:numId="23" w16cid:durableId="157961976">
    <w:abstractNumId w:val="12"/>
  </w:num>
  <w:num w:numId="24" w16cid:durableId="367292359">
    <w:abstractNumId w:val="5"/>
  </w:num>
  <w:num w:numId="25" w16cid:durableId="241991123">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80"/>
    <w:rsid w:val="000005D3"/>
    <w:rsid w:val="000049D8"/>
    <w:rsid w:val="00026AAB"/>
    <w:rsid w:val="00036A03"/>
    <w:rsid w:val="00036B9E"/>
    <w:rsid w:val="00037DF4"/>
    <w:rsid w:val="000442A4"/>
    <w:rsid w:val="00044E38"/>
    <w:rsid w:val="0004700E"/>
    <w:rsid w:val="00070C13"/>
    <w:rsid w:val="000715C9"/>
    <w:rsid w:val="00076486"/>
    <w:rsid w:val="00083DA9"/>
    <w:rsid w:val="00084F33"/>
    <w:rsid w:val="000A57AF"/>
    <w:rsid w:val="000A77A7"/>
    <w:rsid w:val="000B1707"/>
    <w:rsid w:val="000C1B3E"/>
    <w:rsid w:val="000C349E"/>
    <w:rsid w:val="000F5CBC"/>
    <w:rsid w:val="00110AE7"/>
    <w:rsid w:val="00121FCB"/>
    <w:rsid w:val="00145AC7"/>
    <w:rsid w:val="00150F7E"/>
    <w:rsid w:val="00177F4D"/>
    <w:rsid w:val="00180DDA"/>
    <w:rsid w:val="00196604"/>
    <w:rsid w:val="001B1C4B"/>
    <w:rsid w:val="001B2A2D"/>
    <w:rsid w:val="001B737D"/>
    <w:rsid w:val="001C44A3"/>
    <w:rsid w:val="001C6EF2"/>
    <w:rsid w:val="001D5E4D"/>
    <w:rsid w:val="001E09A2"/>
    <w:rsid w:val="001E0E15"/>
    <w:rsid w:val="001F528A"/>
    <w:rsid w:val="001F693D"/>
    <w:rsid w:val="001F704E"/>
    <w:rsid w:val="001F7DC3"/>
    <w:rsid w:val="00201722"/>
    <w:rsid w:val="002125B0"/>
    <w:rsid w:val="00243228"/>
    <w:rsid w:val="00247C7F"/>
    <w:rsid w:val="00251483"/>
    <w:rsid w:val="00255CAA"/>
    <w:rsid w:val="00264305"/>
    <w:rsid w:val="00270018"/>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81F7B"/>
    <w:rsid w:val="00382DAC"/>
    <w:rsid w:val="003972CE"/>
    <w:rsid w:val="003B28F5"/>
    <w:rsid w:val="003B45E5"/>
    <w:rsid w:val="003B7B7D"/>
    <w:rsid w:val="003C54CB"/>
    <w:rsid w:val="003C7A2A"/>
    <w:rsid w:val="003D2DC1"/>
    <w:rsid w:val="003D69D0"/>
    <w:rsid w:val="003F2918"/>
    <w:rsid w:val="003F430E"/>
    <w:rsid w:val="00402B18"/>
    <w:rsid w:val="0041088C"/>
    <w:rsid w:val="00412DD0"/>
    <w:rsid w:val="00420A38"/>
    <w:rsid w:val="00422134"/>
    <w:rsid w:val="00422C68"/>
    <w:rsid w:val="00431B19"/>
    <w:rsid w:val="004661AD"/>
    <w:rsid w:val="00491919"/>
    <w:rsid w:val="004A6C1D"/>
    <w:rsid w:val="004D1D85"/>
    <w:rsid w:val="004D3C3A"/>
    <w:rsid w:val="004E1CD1"/>
    <w:rsid w:val="004E4B9D"/>
    <w:rsid w:val="004F7EFC"/>
    <w:rsid w:val="005107EB"/>
    <w:rsid w:val="00511277"/>
    <w:rsid w:val="00521345"/>
    <w:rsid w:val="00526DF0"/>
    <w:rsid w:val="00545CC4"/>
    <w:rsid w:val="00551FFF"/>
    <w:rsid w:val="005607A2"/>
    <w:rsid w:val="0057198B"/>
    <w:rsid w:val="00573CFE"/>
    <w:rsid w:val="0057460F"/>
    <w:rsid w:val="005969F2"/>
    <w:rsid w:val="00597FAE"/>
    <w:rsid w:val="005A70F7"/>
    <w:rsid w:val="005B32A3"/>
    <w:rsid w:val="005C0D44"/>
    <w:rsid w:val="005C566C"/>
    <w:rsid w:val="005C7E69"/>
    <w:rsid w:val="005D57DB"/>
    <w:rsid w:val="005E262D"/>
    <w:rsid w:val="005F23D3"/>
    <w:rsid w:val="005F7E20"/>
    <w:rsid w:val="00605E43"/>
    <w:rsid w:val="006153BB"/>
    <w:rsid w:val="00642EBE"/>
    <w:rsid w:val="006652C3"/>
    <w:rsid w:val="00691FD0"/>
    <w:rsid w:val="00692148"/>
    <w:rsid w:val="006A1A1E"/>
    <w:rsid w:val="006C20EC"/>
    <w:rsid w:val="006C5948"/>
    <w:rsid w:val="006D3734"/>
    <w:rsid w:val="006F2A74"/>
    <w:rsid w:val="007000D4"/>
    <w:rsid w:val="007118F5"/>
    <w:rsid w:val="00712AA4"/>
    <w:rsid w:val="007146C4"/>
    <w:rsid w:val="00721AA1"/>
    <w:rsid w:val="00724B67"/>
    <w:rsid w:val="00734FD2"/>
    <w:rsid w:val="00745226"/>
    <w:rsid w:val="007547F8"/>
    <w:rsid w:val="00761CAA"/>
    <w:rsid w:val="00765622"/>
    <w:rsid w:val="00770B6C"/>
    <w:rsid w:val="00781B07"/>
    <w:rsid w:val="007838F6"/>
    <w:rsid w:val="00783FEA"/>
    <w:rsid w:val="007A213D"/>
    <w:rsid w:val="007A395D"/>
    <w:rsid w:val="007B6BD5"/>
    <w:rsid w:val="007C2FF3"/>
    <w:rsid w:val="007C346C"/>
    <w:rsid w:val="007D034D"/>
    <w:rsid w:val="007D5A25"/>
    <w:rsid w:val="007E6479"/>
    <w:rsid w:val="0080294B"/>
    <w:rsid w:val="008224F6"/>
    <w:rsid w:val="00822CC4"/>
    <w:rsid w:val="0082480E"/>
    <w:rsid w:val="008321E9"/>
    <w:rsid w:val="00850293"/>
    <w:rsid w:val="00851373"/>
    <w:rsid w:val="00851BA6"/>
    <w:rsid w:val="008535F3"/>
    <w:rsid w:val="0085654D"/>
    <w:rsid w:val="00861160"/>
    <w:rsid w:val="0086654F"/>
    <w:rsid w:val="00866AC0"/>
    <w:rsid w:val="00875373"/>
    <w:rsid w:val="008A356F"/>
    <w:rsid w:val="008A4653"/>
    <w:rsid w:val="008A4717"/>
    <w:rsid w:val="008A50CC"/>
    <w:rsid w:val="008B3040"/>
    <w:rsid w:val="008B419E"/>
    <w:rsid w:val="008C574F"/>
    <w:rsid w:val="008D1694"/>
    <w:rsid w:val="008D19F6"/>
    <w:rsid w:val="008D6C1F"/>
    <w:rsid w:val="008D79CB"/>
    <w:rsid w:val="008F07BC"/>
    <w:rsid w:val="008F73EB"/>
    <w:rsid w:val="00915B62"/>
    <w:rsid w:val="0091760D"/>
    <w:rsid w:val="0092692B"/>
    <w:rsid w:val="00930062"/>
    <w:rsid w:val="00930561"/>
    <w:rsid w:val="00943E9C"/>
    <w:rsid w:val="00953F4D"/>
    <w:rsid w:val="00960BB8"/>
    <w:rsid w:val="00964F5C"/>
    <w:rsid w:val="00973B57"/>
    <w:rsid w:val="00975900"/>
    <w:rsid w:val="009831C0"/>
    <w:rsid w:val="0099161D"/>
    <w:rsid w:val="009C336F"/>
    <w:rsid w:val="009D1A67"/>
    <w:rsid w:val="00A0389B"/>
    <w:rsid w:val="00A33A3C"/>
    <w:rsid w:val="00A446C9"/>
    <w:rsid w:val="00A45E9F"/>
    <w:rsid w:val="00A635D6"/>
    <w:rsid w:val="00A8553A"/>
    <w:rsid w:val="00A93AED"/>
    <w:rsid w:val="00AA0CFB"/>
    <w:rsid w:val="00AB1E1A"/>
    <w:rsid w:val="00AC6C7A"/>
    <w:rsid w:val="00AE1319"/>
    <w:rsid w:val="00AE34BB"/>
    <w:rsid w:val="00AE405E"/>
    <w:rsid w:val="00B00A18"/>
    <w:rsid w:val="00B226F2"/>
    <w:rsid w:val="00B23225"/>
    <w:rsid w:val="00B274DF"/>
    <w:rsid w:val="00B5215B"/>
    <w:rsid w:val="00B56BDF"/>
    <w:rsid w:val="00B65812"/>
    <w:rsid w:val="00B766DC"/>
    <w:rsid w:val="00B85CD6"/>
    <w:rsid w:val="00B90A27"/>
    <w:rsid w:val="00B9554D"/>
    <w:rsid w:val="00BB2B9F"/>
    <w:rsid w:val="00BB3B9F"/>
    <w:rsid w:val="00BB7D9E"/>
    <w:rsid w:val="00BC2334"/>
    <w:rsid w:val="00BC4E82"/>
    <w:rsid w:val="00BD3CB8"/>
    <w:rsid w:val="00BD4E6F"/>
    <w:rsid w:val="00BF32F0"/>
    <w:rsid w:val="00BF4DCE"/>
    <w:rsid w:val="00C05CE5"/>
    <w:rsid w:val="00C321F7"/>
    <w:rsid w:val="00C430C9"/>
    <w:rsid w:val="00C6171E"/>
    <w:rsid w:val="00CA6F2C"/>
    <w:rsid w:val="00CB1949"/>
    <w:rsid w:val="00CC5053"/>
    <w:rsid w:val="00CD59E9"/>
    <w:rsid w:val="00CD6A13"/>
    <w:rsid w:val="00CF1871"/>
    <w:rsid w:val="00D01874"/>
    <w:rsid w:val="00D019CE"/>
    <w:rsid w:val="00D1133E"/>
    <w:rsid w:val="00D12282"/>
    <w:rsid w:val="00D17A34"/>
    <w:rsid w:val="00D26628"/>
    <w:rsid w:val="00D332B3"/>
    <w:rsid w:val="00D55207"/>
    <w:rsid w:val="00D65E70"/>
    <w:rsid w:val="00D81801"/>
    <w:rsid w:val="00D92B45"/>
    <w:rsid w:val="00D93787"/>
    <w:rsid w:val="00D95962"/>
    <w:rsid w:val="00DA4294"/>
    <w:rsid w:val="00DC389B"/>
    <w:rsid w:val="00DE2FEE"/>
    <w:rsid w:val="00DF1467"/>
    <w:rsid w:val="00DF5EA1"/>
    <w:rsid w:val="00E00BE9"/>
    <w:rsid w:val="00E01DBA"/>
    <w:rsid w:val="00E06F38"/>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EF382E"/>
    <w:rsid w:val="00F04350"/>
    <w:rsid w:val="00F133DB"/>
    <w:rsid w:val="00F159EB"/>
    <w:rsid w:val="00F25BF4"/>
    <w:rsid w:val="00F267DB"/>
    <w:rsid w:val="00F46F6F"/>
    <w:rsid w:val="00F60608"/>
    <w:rsid w:val="00F62217"/>
    <w:rsid w:val="00F76CAC"/>
    <w:rsid w:val="00F81DAA"/>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E59DE5E5-D870-4B19-AA4C-CABA46DCF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B23225"/>
    <w:pPr>
      <w:numPr>
        <w:numId w:val="9"/>
      </w:numPr>
      <w:tabs>
        <w:tab w:val="clear" w:pos="8081"/>
        <w:tab w:val="num" w:pos="0"/>
      </w:tabs>
      <w:spacing w:before="120" w:after="120"/>
      <w:ind w:left="6947" w:hanging="8081"/>
      <w:jc w:val="center"/>
    </w:pPr>
    <w:rPr>
      <w:rFonts w:ascii="Calibri" w:hAnsi="Calibr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ListNumber4">
    <w:name w:val="List Number 4"/>
    <w:basedOn w:val="Normal"/>
    <w:rsid w:val="000442A4"/>
    <w:pPr>
      <w:numPr>
        <w:numId w:val="19"/>
      </w:numPr>
      <w:jc w:val="both"/>
    </w:pPr>
    <w:rPr>
      <w:rFonts w:asciiTheme="minorHAnsi" w:eastAsia="Times New Roman" w:hAnsiTheme="minorHAnsi" w:cstheme="minorHAnsi"/>
      <w:lang w:eastAsia="en-US"/>
    </w:rPr>
  </w:style>
  <w:style w:type="paragraph" w:customStyle="1" w:styleId="FigureCaption">
    <w:name w:val="Figure_Caption"/>
    <w:basedOn w:val="Normal"/>
    <w:qFormat/>
    <w:rsid w:val="000442A4"/>
    <w:pPr>
      <w:spacing w:before="120" w:after="120"/>
      <w:jc w:val="center"/>
    </w:pPr>
    <w:rPr>
      <w:rFonts w:asciiTheme="minorHAnsi" w:eastAsia="Times New Roman" w:hAnsiTheme="minorHAnsi" w:cstheme="minorHAnsi"/>
      <w:iCs/>
      <w:sz w:val="20"/>
      <w:szCs w:val="24"/>
      <w:lang w:eastAsia="en-US"/>
    </w:rPr>
  </w:style>
  <w:style w:type="character" w:customStyle="1" w:styleId="CharChar">
    <w:name w:val="Char Char"/>
    <w:basedOn w:val="DefaultParagraphFont"/>
    <w:rsid w:val="000442A4"/>
    <w:rPr>
      <w:sz w:val="24"/>
      <w:lang w:val="en-US" w:eastAsia="en-US" w:bidi="ar-SA"/>
    </w:rPr>
  </w:style>
  <w:style w:type="paragraph" w:styleId="Revision">
    <w:name w:val="Revision"/>
    <w:hidden/>
    <w:uiPriority w:val="99"/>
    <w:semiHidden/>
    <w:rsid w:val="00AE405E"/>
    <w:rPr>
      <w:rFonts w:ascii="Arial" w:hAnsi="Arial" w:cs="Calibri"/>
      <w:sz w:val="22"/>
      <w:szCs w:val="22"/>
    </w:rPr>
  </w:style>
  <w:style w:type="character" w:customStyle="1" w:styleId="UnresolvedMention1">
    <w:name w:val="Unresolved Mention1"/>
    <w:basedOn w:val="DefaultParagraphFont"/>
    <w:uiPriority w:val="99"/>
    <w:semiHidden/>
    <w:unhideWhenUsed/>
    <w:rsid w:val="005D57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45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10.jpg@01D9DB35.08C295E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iala-aism.org/product/g1152/"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12.jpg@01D9DB35.08C295E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ACC4C8C-C79D-49B6-AF2D-3A60E4D79854}">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CCFF7C7D-B18B-48CF-887C-88D2747C4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4700</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2023-09-19T11:17:00Z</dcterms:created>
  <dcterms:modified xsi:type="dcterms:W3CDTF">2023-09-29T18:40:00Z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